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8081B86" w14:textId="77777777" w:rsidR="00E615E1" w:rsidRDefault="00E615E1" w:rsidP="000D74E1"/>
    <w:p w14:paraId="2A14B1AF" w14:textId="77777777" w:rsidR="00991C2E" w:rsidRDefault="00991C2E" w:rsidP="005B49FC">
      <w:pPr>
        <w:pStyle w:val="Nadpis1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Tisková zpráva</w:t>
      </w:r>
    </w:p>
    <w:p w14:paraId="76F13D6B" w14:textId="77777777" w:rsidR="005B49FC" w:rsidRPr="005B49FC" w:rsidRDefault="005B49FC" w:rsidP="005B49FC"/>
    <w:p w14:paraId="442A573C" w14:textId="1064A3A1" w:rsidR="005B49FC" w:rsidRDefault="00B953EF" w:rsidP="00B953EF">
      <w:pPr>
        <w:shd w:val="clear" w:color="auto" w:fill="FFFFFF"/>
        <w:spacing w:after="0" w:line="240" w:lineRule="auto"/>
        <w:jc w:val="center"/>
        <w:rPr>
          <w:rFonts w:eastAsiaTheme="majorEastAsia" w:cstheme="majorBidi"/>
          <w:b/>
          <w:bCs/>
          <w:sz w:val="24"/>
          <w:szCs w:val="24"/>
        </w:rPr>
      </w:pPr>
      <w:r w:rsidRPr="00B953EF">
        <w:rPr>
          <w:rFonts w:eastAsiaTheme="majorEastAsia" w:cstheme="majorBidi"/>
          <w:b/>
          <w:bCs/>
          <w:sz w:val="24"/>
          <w:szCs w:val="24"/>
        </w:rPr>
        <w:t>Hanácké muzeum v přírodě opět otevírá brány! Zažijte krojovou poradnu, tesařské řemeslo i tradiční hanácký venkov</w:t>
      </w:r>
    </w:p>
    <w:p w14:paraId="12BECC80" w14:textId="77777777" w:rsidR="00B953EF" w:rsidRDefault="00B953EF" w:rsidP="005B49FC">
      <w:pPr>
        <w:shd w:val="clear" w:color="auto" w:fill="FFFFFF"/>
        <w:spacing w:after="0" w:line="240" w:lineRule="auto"/>
        <w:rPr>
          <w:rStyle w:val="Siln"/>
          <w:rFonts w:cs="Segoe UI"/>
          <w:b w:val="0"/>
          <w:color w:val="1F1F1F"/>
          <w:shd w:val="clear" w:color="auto" w:fill="FFFFFF"/>
        </w:rPr>
      </w:pPr>
    </w:p>
    <w:p w14:paraId="38CBF832" w14:textId="34E6FE05" w:rsidR="00B953EF" w:rsidRDefault="00B953EF" w:rsidP="00B953EF">
      <w:pPr>
        <w:spacing w:after="0" w:line="240" w:lineRule="auto"/>
      </w:pPr>
      <w:r>
        <w:t xml:space="preserve">Příkazy – Hanácké muzeum v přírodě v </w:t>
      </w:r>
      <w:proofErr w:type="spellStart"/>
      <w:r>
        <w:t>Příkazích</w:t>
      </w:r>
      <w:proofErr w:type="spellEnd"/>
      <w:r>
        <w:t xml:space="preserve"> se po zimní pauze opět otevírá veřejnosti. Novou sez</w:t>
      </w:r>
      <w:r w:rsidR="00FC4492">
        <w:t>o</w:t>
      </w:r>
      <w:r>
        <w:t>nu odstartuje ve středu 1. května</w:t>
      </w:r>
      <w:r w:rsidR="00B47BD7">
        <w:t>. Pro</w:t>
      </w:r>
      <w:r w:rsidR="00B47BD7">
        <w:rPr>
          <w:color w:val="FF0000"/>
        </w:rPr>
        <w:t xml:space="preserve"> </w:t>
      </w:r>
      <w:r>
        <w:t xml:space="preserve">letošní rok muzeum připravilo zbrusu nový program pro celou rodinu. Vonět bude dřevem. </w:t>
      </w:r>
    </w:p>
    <w:p w14:paraId="03FD56E8" w14:textId="77777777" w:rsidR="00B953EF" w:rsidRDefault="00B953EF" w:rsidP="00B953EF">
      <w:pPr>
        <w:spacing w:after="0" w:line="240" w:lineRule="auto"/>
      </w:pPr>
    </w:p>
    <w:p w14:paraId="28FBB35C" w14:textId="5120171E" w:rsidR="00B953EF" w:rsidRDefault="00B47BD7" w:rsidP="00B953EF">
      <w:pPr>
        <w:spacing w:after="0" w:line="240" w:lineRule="auto"/>
      </w:pPr>
      <w:r>
        <w:t>P</w:t>
      </w:r>
      <w:r w:rsidR="0026629B">
        <w:t>oprvé</w:t>
      </w:r>
      <w:r w:rsidR="00B5143B">
        <w:t xml:space="preserve"> </w:t>
      </w:r>
      <w:r w:rsidR="0026629B">
        <w:t xml:space="preserve">areál </w:t>
      </w:r>
      <w:proofErr w:type="spellStart"/>
      <w:r w:rsidR="0026629B">
        <w:t>příkazského</w:t>
      </w:r>
      <w:proofErr w:type="spellEnd"/>
      <w:r w:rsidR="0026629B">
        <w:t xml:space="preserve"> Kameníčkova gruntu ožije krojovou poradnou. Ta se</w:t>
      </w:r>
      <w:r w:rsidR="00B953EF">
        <w:t xml:space="preserve"> </w:t>
      </w:r>
      <w:r w:rsidR="00FB0CD5">
        <w:t>zájemcům o hanáck</w:t>
      </w:r>
      <w:r w:rsidR="00EC4CF7">
        <w:t>é odívání</w:t>
      </w:r>
      <w:r w:rsidR="00FB0CD5">
        <w:t xml:space="preserve"> </w:t>
      </w:r>
      <w:r w:rsidR="00B953EF">
        <w:t>otevře už v sobotu 4. května, a to od 10 do 16 hodin. „</w:t>
      </w:r>
      <w:r w:rsidR="00B953EF" w:rsidRPr="00FC4492">
        <w:rPr>
          <w:i/>
          <w:iCs/>
        </w:rPr>
        <w:t xml:space="preserve">V krojové poradně se s vámi setkají Jarmila </w:t>
      </w:r>
      <w:proofErr w:type="spellStart"/>
      <w:r w:rsidR="00B953EF" w:rsidRPr="00FC4492">
        <w:rPr>
          <w:i/>
          <w:iCs/>
        </w:rPr>
        <w:t>Vítoslavská</w:t>
      </w:r>
      <w:proofErr w:type="spellEnd"/>
      <w:r w:rsidR="00B953EF" w:rsidRPr="00FC4492">
        <w:rPr>
          <w:i/>
          <w:iCs/>
        </w:rPr>
        <w:t xml:space="preserve"> a Bronislava </w:t>
      </w:r>
      <w:proofErr w:type="spellStart"/>
      <w:r w:rsidR="00B953EF" w:rsidRPr="00FC4492">
        <w:rPr>
          <w:i/>
          <w:iCs/>
        </w:rPr>
        <w:t>Millá</w:t>
      </w:r>
      <w:proofErr w:type="spellEnd"/>
      <w:r w:rsidR="00B953EF" w:rsidRPr="00FC4492">
        <w:rPr>
          <w:i/>
          <w:iCs/>
        </w:rPr>
        <w:t>, přední znalkyně hanáckého oděvu. Poradí vám s nošením hanáckého kroje, ať už zděděného po babičce, nebo jen s jeho konkrétní součástí. Dozvíte se o výrobě, tajemstvích a motivech hanáckého kroje a budete se moci zeptat na vše, co vás zajímá,“</w:t>
      </w:r>
      <w:r w:rsidR="00B953EF">
        <w:t xml:space="preserve"> láká vedoucí Hanáckého muzea v přírodě v </w:t>
      </w:r>
      <w:proofErr w:type="spellStart"/>
      <w:r w:rsidR="00B953EF">
        <w:t>Příkazích</w:t>
      </w:r>
      <w:proofErr w:type="spellEnd"/>
      <w:r w:rsidR="00B953EF">
        <w:t xml:space="preserve"> Petr </w:t>
      </w:r>
      <w:proofErr w:type="spellStart"/>
      <w:r w:rsidR="00B953EF">
        <w:t>Vodešil</w:t>
      </w:r>
      <w:proofErr w:type="spellEnd"/>
      <w:r w:rsidR="00B953EF">
        <w:t>. Přidává, že další krojové poradny jsou naplánované na 1. června, 6. července, 3. srpna a 7. září.</w:t>
      </w:r>
    </w:p>
    <w:p w14:paraId="5B1CA949" w14:textId="77777777" w:rsidR="00B953EF" w:rsidRDefault="00B953EF" w:rsidP="00B953EF">
      <w:pPr>
        <w:spacing w:after="0" w:line="240" w:lineRule="auto"/>
      </w:pPr>
    </w:p>
    <w:p w14:paraId="75973FB1" w14:textId="77777777" w:rsidR="00B953EF" w:rsidRDefault="00B953EF" w:rsidP="00B953EF">
      <w:pPr>
        <w:spacing w:after="0" w:line="240" w:lineRule="auto"/>
      </w:pPr>
      <w:r>
        <w:t xml:space="preserve">Programovou novinkou, kterou muzeum letos během sezóny nabídne, je akce nazvaná Tradiční tesařské řemeslo. Ta se uskuteční v sobotu 13. července. </w:t>
      </w:r>
      <w:r w:rsidRPr="00FC4492">
        <w:rPr>
          <w:i/>
          <w:iCs/>
        </w:rPr>
        <w:t>„Během této akce se příchozí seznámí s historií a technikami tesařského řemesla, vyzkouší si práci se dřevem pod vedením zkušených tesařů a mohou se jim podívat pod ruce, na ukázky tesařských prací. Na to se velmi těšíme,“</w:t>
      </w:r>
      <w:r>
        <w:t xml:space="preserve"> pokračoval Petr Vodešil.</w:t>
      </w:r>
    </w:p>
    <w:p w14:paraId="467351E7" w14:textId="77777777" w:rsidR="00B953EF" w:rsidRDefault="00B953EF" w:rsidP="00B953EF">
      <w:pPr>
        <w:spacing w:after="0" w:line="240" w:lineRule="auto"/>
      </w:pPr>
    </w:p>
    <w:p w14:paraId="5119D446" w14:textId="77777777" w:rsidR="00B953EF" w:rsidRDefault="00B953EF" w:rsidP="00B953EF">
      <w:pPr>
        <w:spacing w:after="0" w:line="240" w:lineRule="auto"/>
      </w:pPr>
      <w:r>
        <w:t xml:space="preserve">Během léta nebudou chybět ani tradiční a </w:t>
      </w:r>
      <w:proofErr w:type="spellStart"/>
      <w:r>
        <w:t>návštěvnicky</w:t>
      </w:r>
      <w:proofErr w:type="spellEnd"/>
      <w:r>
        <w:t xml:space="preserve"> oblíbené akce, jako jsou Žně na Hané či Koniny. Podzim pak bude ve znamení Hané a Hanáků, v </w:t>
      </w:r>
      <w:proofErr w:type="spellStart"/>
      <w:r>
        <w:t>Příkazích</w:t>
      </w:r>
      <w:proofErr w:type="spellEnd"/>
      <w:r>
        <w:t xml:space="preserve"> se totiž uskuteční XV. Setkání Hanáků a část programu se odehraje i v prostorách Hanáckého muzea v přírodě.</w:t>
      </w:r>
    </w:p>
    <w:p w14:paraId="66F15499" w14:textId="77777777" w:rsidR="00B953EF" w:rsidRDefault="00B953EF" w:rsidP="00B953EF">
      <w:pPr>
        <w:spacing w:after="0" w:line="240" w:lineRule="auto"/>
      </w:pPr>
    </w:p>
    <w:p w14:paraId="1BB938E8" w14:textId="566F1715" w:rsidR="00B13C7B" w:rsidRPr="00EB2BDC" w:rsidRDefault="00B953EF" w:rsidP="00B953EF">
      <w:pPr>
        <w:spacing w:after="0" w:line="240" w:lineRule="auto"/>
      </w:pPr>
      <w:r>
        <w:t xml:space="preserve">Muzeum je v květnu otevřené o víkendech a ve státní svátky, od 10 do 16 hodin. Plný návštěvnický režim odstartuje 1. června. </w:t>
      </w:r>
      <w:r w:rsidR="006716DC">
        <w:t>D</w:t>
      </w:r>
      <w:r>
        <w:t xml:space="preserve">alší informace </w:t>
      </w:r>
      <w:r w:rsidR="006716DC">
        <w:t>najdete na</w:t>
      </w:r>
      <w:r>
        <w:t xml:space="preserve"> webov</w:t>
      </w:r>
      <w:r w:rsidR="006716DC">
        <w:t>ých</w:t>
      </w:r>
      <w:r>
        <w:t xml:space="preserve"> stránk</w:t>
      </w:r>
      <w:r w:rsidR="006716DC">
        <w:t>ách</w:t>
      </w:r>
      <w:r>
        <w:t xml:space="preserve"> </w:t>
      </w:r>
      <w:hyperlink r:id="rId7" w:history="1">
        <w:r w:rsidR="00B47BD7" w:rsidRPr="00D3280F">
          <w:rPr>
            <w:rStyle w:val="Hypertextovodkaz"/>
          </w:rPr>
          <w:t>www.nmvp.cz/prikazy</w:t>
        </w:r>
      </w:hyperlink>
      <w:r w:rsidR="00B47BD7">
        <w:t xml:space="preserve"> </w:t>
      </w:r>
      <w:r>
        <w:t>a sociální</w:t>
      </w:r>
      <w:r w:rsidR="006716DC">
        <w:t>ch</w:t>
      </w:r>
      <w:r>
        <w:t xml:space="preserve"> sít</w:t>
      </w:r>
      <w:r w:rsidR="006716DC">
        <w:t>ích</w:t>
      </w:r>
      <w:r>
        <w:t xml:space="preserve"> muzea</w:t>
      </w:r>
      <w:r w:rsidR="00B47BD7">
        <w:t>.</w:t>
      </w:r>
    </w:p>
    <w:p w14:paraId="7BECC9EA" w14:textId="460B0A5F" w:rsidR="009857A9" w:rsidRDefault="009857A9" w:rsidP="00FD7490">
      <w:pPr>
        <w:pStyle w:val="Bezmezer"/>
        <w:jc w:val="both"/>
      </w:pPr>
    </w:p>
    <w:p w14:paraId="0542DA50" w14:textId="635770F9" w:rsidR="00FD7490" w:rsidRDefault="00FD7490" w:rsidP="00FD7490">
      <w:pPr>
        <w:spacing w:after="0" w:line="240" w:lineRule="auto"/>
      </w:pPr>
    </w:p>
    <w:p w14:paraId="52A66BC2" w14:textId="2AEF6696" w:rsidR="008A1A9D" w:rsidRDefault="008A1A9D" w:rsidP="008A1A9D">
      <w:pPr>
        <w:spacing w:after="0" w:line="240" w:lineRule="auto"/>
      </w:pPr>
    </w:p>
    <w:p w14:paraId="2C95E384" w14:textId="77777777" w:rsidR="00FC53C6" w:rsidRPr="009857A9" w:rsidRDefault="00FC53C6" w:rsidP="00FD7490">
      <w:pPr>
        <w:spacing w:after="0" w:line="240" w:lineRule="auto"/>
      </w:pPr>
    </w:p>
    <w:p w14:paraId="30121493" w14:textId="3D94B3B8" w:rsidR="009857A9" w:rsidRPr="00D70E48" w:rsidRDefault="009857A9" w:rsidP="009857A9">
      <w:pPr>
        <w:pStyle w:val="Bezmezer"/>
        <w:rPr>
          <w:rFonts w:ascii="Titillium" w:hAnsi="Titillium" w:cs="Calibri"/>
          <w:b/>
          <w:bCs/>
          <w:shd w:val="clear" w:color="auto" w:fill="FFFFFF"/>
        </w:rPr>
      </w:pPr>
      <w:r w:rsidRPr="00D70E48">
        <w:rPr>
          <w:rFonts w:ascii="Titillium" w:hAnsi="Titillium"/>
          <w:b/>
          <w:bCs/>
          <w:shd w:val="clear" w:color="auto" w:fill="FFFFFF"/>
        </w:rPr>
        <w:t>V</w:t>
      </w:r>
      <w:r w:rsidRPr="00D70E48">
        <w:rPr>
          <w:rFonts w:ascii="Calibri" w:hAnsi="Calibri" w:cs="Calibri"/>
          <w:b/>
          <w:bCs/>
          <w:shd w:val="clear" w:color="auto" w:fill="FFFFFF"/>
        </w:rPr>
        <w:t> </w:t>
      </w:r>
      <w:r w:rsidRPr="00D70E48">
        <w:rPr>
          <w:rFonts w:ascii="Titillium" w:hAnsi="Titillium"/>
          <w:b/>
          <w:bCs/>
          <w:shd w:val="clear" w:color="auto" w:fill="FFFFFF"/>
        </w:rPr>
        <w:t>p</w:t>
      </w:r>
      <w:r w:rsidRPr="00D70E48">
        <w:rPr>
          <w:rFonts w:ascii="Titillium" w:hAnsi="Titillium" w:cs="Titillium"/>
          <w:b/>
          <w:bCs/>
          <w:shd w:val="clear" w:color="auto" w:fill="FFFFFF"/>
        </w:rPr>
        <w:t>ří</w:t>
      </w:r>
      <w:r w:rsidRPr="00D70E48">
        <w:rPr>
          <w:rFonts w:ascii="Titillium" w:hAnsi="Titillium"/>
          <w:b/>
          <w:bCs/>
          <w:shd w:val="clear" w:color="auto" w:fill="FFFFFF"/>
        </w:rPr>
        <w:t>pad</w:t>
      </w:r>
      <w:r w:rsidRPr="00D70E48">
        <w:rPr>
          <w:rFonts w:ascii="Titillium" w:hAnsi="Titillium" w:cs="Titillium"/>
          <w:b/>
          <w:bCs/>
          <w:shd w:val="clear" w:color="auto" w:fill="FFFFFF"/>
        </w:rPr>
        <w:t>ě</w:t>
      </w:r>
      <w:r w:rsidRPr="00D70E48">
        <w:rPr>
          <w:rFonts w:ascii="Calibri" w:hAnsi="Calibri" w:cs="Calibri"/>
          <w:b/>
          <w:bCs/>
          <w:shd w:val="clear" w:color="auto" w:fill="FFFFFF"/>
        </w:rPr>
        <w:t> </w:t>
      </w:r>
      <w:r w:rsidRPr="00D70E48">
        <w:rPr>
          <w:rFonts w:ascii="Titillium" w:hAnsi="Titillium"/>
          <w:b/>
          <w:bCs/>
          <w:shd w:val="clear" w:color="auto" w:fill="FFFFFF"/>
        </w:rPr>
        <w:t>pot</w:t>
      </w:r>
      <w:r w:rsidRPr="00D70E48">
        <w:rPr>
          <w:rFonts w:ascii="Titillium" w:hAnsi="Titillium" w:cs="Titillium"/>
          <w:b/>
          <w:bCs/>
          <w:shd w:val="clear" w:color="auto" w:fill="FFFFFF"/>
        </w:rPr>
        <w:t>ř</w:t>
      </w:r>
      <w:r w:rsidRPr="00D70E48">
        <w:rPr>
          <w:rFonts w:ascii="Titillium" w:hAnsi="Titillium"/>
          <w:b/>
          <w:bCs/>
          <w:shd w:val="clear" w:color="auto" w:fill="FFFFFF"/>
        </w:rPr>
        <w:t>eby</w:t>
      </w:r>
      <w:r w:rsidRPr="00D70E48">
        <w:rPr>
          <w:rFonts w:ascii="Calibri" w:hAnsi="Calibri" w:cs="Calibri"/>
          <w:b/>
          <w:bCs/>
          <w:shd w:val="clear" w:color="auto" w:fill="FFFFFF"/>
        </w:rPr>
        <w:t> </w:t>
      </w:r>
      <w:r w:rsidRPr="00D70E48">
        <w:rPr>
          <w:rFonts w:ascii="Titillium" w:hAnsi="Titillium"/>
          <w:b/>
          <w:bCs/>
          <w:shd w:val="clear" w:color="auto" w:fill="FFFFFF"/>
        </w:rPr>
        <w:t>dal</w:t>
      </w:r>
      <w:r w:rsidRPr="00D70E48">
        <w:rPr>
          <w:rFonts w:ascii="Titillium" w:hAnsi="Titillium" w:cs="Titillium"/>
          <w:b/>
          <w:bCs/>
          <w:shd w:val="clear" w:color="auto" w:fill="FFFFFF"/>
        </w:rPr>
        <w:t>ší</w:t>
      </w:r>
      <w:r w:rsidRPr="00D70E48">
        <w:rPr>
          <w:rFonts w:ascii="Titillium" w:hAnsi="Titillium"/>
          <w:b/>
          <w:bCs/>
          <w:shd w:val="clear" w:color="auto" w:fill="FFFFFF"/>
        </w:rPr>
        <w:t>ch</w:t>
      </w:r>
      <w:r w:rsidRPr="00D70E48">
        <w:rPr>
          <w:rFonts w:ascii="Calibri" w:hAnsi="Calibri" w:cs="Calibri"/>
          <w:b/>
          <w:bCs/>
          <w:shd w:val="clear" w:color="auto" w:fill="FFFFFF"/>
        </w:rPr>
        <w:t> </w:t>
      </w:r>
      <w:r w:rsidRPr="00D70E48">
        <w:rPr>
          <w:rFonts w:ascii="Titillium" w:hAnsi="Titillium"/>
          <w:b/>
          <w:bCs/>
          <w:shd w:val="clear" w:color="auto" w:fill="FFFFFF"/>
        </w:rPr>
        <w:t>informac</w:t>
      </w:r>
      <w:r w:rsidRPr="00D70E48">
        <w:rPr>
          <w:rFonts w:ascii="Titillium" w:hAnsi="Titillium" w:cs="Titillium"/>
          <w:b/>
          <w:bCs/>
          <w:shd w:val="clear" w:color="auto" w:fill="FFFFFF"/>
        </w:rPr>
        <w:t>í</w:t>
      </w:r>
      <w:r w:rsidRPr="00D70E48">
        <w:rPr>
          <w:rFonts w:ascii="Titillium" w:hAnsi="Titillium" w:cs="Calibri"/>
          <w:b/>
          <w:bCs/>
          <w:shd w:val="clear" w:color="auto" w:fill="FFFFFF"/>
        </w:rPr>
        <w:t xml:space="preserve"> </w:t>
      </w:r>
      <w:r w:rsidRPr="00D70E48">
        <w:rPr>
          <w:rFonts w:ascii="Titillium" w:hAnsi="Titillium"/>
          <w:b/>
          <w:bCs/>
          <w:shd w:val="clear" w:color="auto" w:fill="FFFFFF"/>
        </w:rPr>
        <w:t>kontaktujte</w:t>
      </w:r>
      <w:r w:rsidRPr="00D70E48">
        <w:rPr>
          <w:rFonts w:ascii="Calibri" w:hAnsi="Calibri" w:cs="Calibri"/>
          <w:b/>
          <w:bCs/>
          <w:shd w:val="clear" w:color="auto" w:fill="FFFFFF"/>
        </w:rPr>
        <w:t> </w:t>
      </w:r>
    </w:p>
    <w:p w14:paraId="7E425324" w14:textId="4AF31CF4" w:rsidR="00796DA0" w:rsidRDefault="009857A9" w:rsidP="009857A9">
      <w:pPr>
        <w:pStyle w:val="Bezmezer"/>
        <w:rPr>
          <w:rFonts w:ascii="Calibri" w:hAnsi="Calibri" w:cs="Calibri"/>
          <w:shd w:val="clear" w:color="auto" w:fill="FFFFFF"/>
        </w:rPr>
      </w:pPr>
      <w:r w:rsidRPr="009857A9">
        <w:rPr>
          <w:rFonts w:ascii="Titillium" w:hAnsi="Titillium"/>
          <w:shd w:val="clear" w:color="auto" w:fill="FFFFFF"/>
        </w:rPr>
        <w:t>Petra</w:t>
      </w:r>
      <w:r w:rsidRPr="009857A9">
        <w:rPr>
          <w:rFonts w:ascii="Calibri" w:hAnsi="Calibri" w:cs="Calibri"/>
          <w:shd w:val="clear" w:color="auto" w:fill="FFFFFF"/>
        </w:rPr>
        <w:t> </w:t>
      </w:r>
      <w:proofErr w:type="spellStart"/>
      <w:r w:rsidRPr="009857A9">
        <w:rPr>
          <w:rFonts w:ascii="Titillium" w:hAnsi="Titillium"/>
          <w:shd w:val="clear" w:color="auto" w:fill="FFFFFF"/>
        </w:rPr>
        <w:t>Vode</w:t>
      </w:r>
      <w:r w:rsidRPr="009857A9">
        <w:rPr>
          <w:rFonts w:ascii="Titillium" w:hAnsi="Titillium" w:cs="Titillium"/>
          <w:shd w:val="clear" w:color="auto" w:fill="FFFFFF"/>
        </w:rPr>
        <w:t>š</w:t>
      </w:r>
      <w:r w:rsidRPr="009857A9">
        <w:rPr>
          <w:rFonts w:ascii="Titillium" w:hAnsi="Titillium"/>
          <w:shd w:val="clear" w:color="auto" w:fill="FFFFFF"/>
        </w:rPr>
        <w:t>ila</w:t>
      </w:r>
      <w:proofErr w:type="spellEnd"/>
      <w:r w:rsidRPr="009857A9">
        <w:rPr>
          <w:rFonts w:ascii="Titillium" w:hAnsi="Titillium"/>
          <w:shd w:val="clear" w:color="auto" w:fill="FFFFFF"/>
        </w:rPr>
        <w:t>,</w:t>
      </w:r>
      <w:r w:rsidRPr="009857A9">
        <w:rPr>
          <w:rFonts w:ascii="Calibri" w:hAnsi="Calibri" w:cs="Calibri"/>
          <w:shd w:val="clear" w:color="auto" w:fill="FFFFFF"/>
        </w:rPr>
        <w:t> </w:t>
      </w:r>
      <w:r w:rsidRPr="009857A9">
        <w:rPr>
          <w:rFonts w:ascii="Titillium" w:hAnsi="Titillium"/>
          <w:shd w:val="clear" w:color="auto" w:fill="FFFFFF"/>
        </w:rPr>
        <w:t>vedouc</w:t>
      </w:r>
      <w:r w:rsidRPr="009857A9">
        <w:rPr>
          <w:rFonts w:ascii="Titillium" w:hAnsi="Titillium" w:cs="Titillium"/>
          <w:shd w:val="clear" w:color="auto" w:fill="FFFFFF"/>
        </w:rPr>
        <w:t>í</w:t>
      </w:r>
      <w:r w:rsidRPr="009857A9">
        <w:rPr>
          <w:rFonts w:ascii="Titillium" w:hAnsi="Titillium"/>
          <w:shd w:val="clear" w:color="auto" w:fill="FFFFFF"/>
        </w:rPr>
        <w:t>ho</w:t>
      </w:r>
      <w:r w:rsidRPr="009857A9">
        <w:rPr>
          <w:rFonts w:ascii="Calibri" w:hAnsi="Calibri" w:cs="Calibri"/>
          <w:shd w:val="clear" w:color="auto" w:fill="FFFFFF"/>
        </w:rPr>
        <w:t> </w:t>
      </w:r>
      <w:r w:rsidR="003E1B69">
        <w:rPr>
          <w:rFonts w:ascii="Calibri" w:hAnsi="Calibri" w:cs="Calibri"/>
          <w:shd w:val="clear" w:color="auto" w:fill="FFFFFF"/>
        </w:rPr>
        <w:t xml:space="preserve">Hanáckého </w:t>
      </w:r>
      <w:r w:rsidRPr="009857A9">
        <w:rPr>
          <w:rFonts w:ascii="Titillium" w:hAnsi="Titillium"/>
          <w:shd w:val="clear" w:color="auto" w:fill="FFFFFF"/>
        </w:rPr>
        <w:t>muzea</w:t>
      </w:r>
      <w:r w:rsidR="003E1B69">
        <w:rPr>
          <w:rFonts w:ascii="Titillium" w:hAnsi="Titillium"/>
          <w:shd w:val="clear" w:color="auto" w:fill="FFFFFF"/>
        </w:rPr>
        <w:t xml:space="preserve"> v přírodě</w:t>
      </w:r>
    </w:p>
    <w:p w14:paraId="66D24AA0" w14:textId="72E539B5" w:rsidR="00FD7490" w:rsidRPr="00796DA0" w:rsidRDefault="00796DA0" w:rsidP="009857A9">
      <w:pPr>
        <w:pStyle w:val="Bezmezer"/>
        <w:rPr>
          <w:rFonts w:ascii="Titillium" w:hAnsi="Titillium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Email:</w:t>
      </w:r>
      <w:r w:rsidR="009857A9" w:rsidRPr="009857A9">
        <w:rPr>
          <w:rFonts w:ascii="Calibri" w:hAnsi="Calibri" w:cs="Calibri"/>
          <w:shd w:val="clear" w:color="auto" w:fill="FFFFFF"/>
        </w:rPr>
        <w:t> </w:t>
      </w:r>
      <w:hyperlink r:id="rId8" w:history="1">
        <w:r w:rsidR="009857A9" w:rsidRPr="009857A9">
          <w:rPr>
            <w:rStyle w:val="Hypertextovodkaz"/>
            <w:rFonts w:ascii="Titillium" w:hAnsi="Titillium" w:cs="Courier New"/>
            <w:color w:val="0069A6"/>
            <w:shd w:val="clear" w:color="auto" w:fill="FFFFFF"/>
          </w:rPr>
          <w:t>petr.vodesil@nmvp.cz</w:t>
        </w:r>
      </w:hyperlink>
      <w:r>
        <w:rPr>
          <w:rFonts w:ascii="Titillium" w:hAnsi="Titillium" w:cs="Calibri"/>
          <w:shd w:val="clear" w:color="auto" w:fill="FFFFFF"/>
        </w:rPr>
        <w:t xml:space="preserve">; </w:t>
      </w:r>
      <w:r w:rsidR="009857A9" w:rsidRPr="009857A9">
        <w:rPr>
          <w:rFonts w:ascii="Titillium" w:hAnsi="Titillium"/>
          <w:shd w:val="clear" w:color="auto" w:fill="FFFFFF"/>
        </w:rPr>
        <w:t>telefon:</w:t>
      </w:r>
      <w:r w:rsidR="009857A9" w:rsidRPr="009857A9">
        <w:rPr>
          <w:rFonts w:ascii="Calibri" w:hAnsi="Calibri" w:cs="Calibri"/>
          <w:shd w:val="clear" w:color="auto" w:fill="FFFFFF"/>
        </w:rPr>
        <w:t> </w:t>
      </w:r>
      <w:r w:rsidR="009857A9" w:rsidRPr="009857A9">
        <w:rPr>
          <w:rFonts w:ascii="Titillium" w:hAnsi="Titillium"/>
          <w:shd w:val="clear" w:color="auto" w:fill="FFFFFF"/>
        </w:rPr>
        <w:t>775 858</w:t>
      </w:r>
      <w:r w:rsidR="009857A9" w:rsidRPr="009857A9">
        <w:rPr>
          <w:rFonts w:ascii="Calibri" w:hAnsi="Calibri" w:cs="Calibri"/>
          <w:shd w:val="clear" w:color="auto" w:fill="FFFFFF"/>
        </w:rPr>
        <w:t> </w:t>
      </w:r>
      <w:r w:rsidR="009857A9" w:rsidRPr="009857A9">
        <w:rPr>
          <w:rFonts w:ascii="Titillium" w:hAnsi="Titillium"/>
          <w:shd w:val="clear" w:color="auto" w:fill="FFFFFF"/>
        </w:rPr>
        <w:t>538</w:t>
      </w:r>
    </w:p>
    <w:p w14:paraId="79032272" w14:textId="77777777" w:rsidR="00FD7490" w:rsidRDefault="00FD7490" w:rsidP="00FD7490">
      <w:pPr>
        <w:spacing w:after="0" w:line="240" w:lineRule="auto"/>
      </w:pPr>
    </w:p>
    <w:p w14:paraId="38966A1A" w14:textId="4CE0C8BA" w:rsidR="00FD7490" w:rsidRDefault="00FD7490" w:rsidP="0068559E">
      <w:pPr>
        <w:spacing w:after="0" w:line="240" w:lineRule="auto"/>
        <w:rPr>
          <w:i/>
          <w:iCs/>
          <w:sz w:val="18"/>
          <w:szCs w:val="18"/>
          <w:lang w:eastAsia="cs-CZ"/>
        </w:rPr>
      </w:pPr>
    </w:p>
    <w:p w14:paraId="16286654" w14:textId="7316134F" w:rsidR="00FD7490" w:rsidRDefault="00FD7490" w:rsidP="00FD7490">
      <w:pPr>
        <w:pStyle w:val="Bezmezer"/>
        <w:jc w:val="both"/>
      </w:pPr>
      <w:r w:rsidRPr="00EC473B">
        <w:rPr>
          <w:rFonts w:ascii="Titillium" w:hAnsi="Titillium"/>
          <w:i/>
          <w:iCs/>
          <w:sz w:val="18"/>
          <w:szCs w:val="18"/>
          <w:lang w:eastAsia="cs-CZ"/>
        </w:rPr>
        <w:t>Areál Hanáckého muzea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v p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ří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rod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ě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je jedine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č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ý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m dokladem hlin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ě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é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ho lidov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é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ho stavitelstv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í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z oblasti Han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é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. Muzeum se skládá ze tří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š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paletov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ý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ch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stodol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z prvn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í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poloviny 19. stolet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í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a jedn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é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stodoly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z roku 1987,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na kter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é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navazuje zahrada s ovocnými stromy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a kompletn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í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han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á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ck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ý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statek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s obytnou a hospodářskou částí z roku 1876. Na jaře 2022 byla otevřena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rann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ě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novov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ě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k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á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rouben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á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stodola ze Skali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č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ky na </w:t>
      </w:r>
      <w:proofErr w:type="spellStart"/>
      <w:r w:rsidRPr="00EC473B">
        <w:rPr>
          <w:rFonts w:ascii="Titillium" w:hAnsi="Titillium"/>
          <w:i/>
          <w:iCs/>
          <w:sz w:val="18"/>
          <w:szCs w:val="18"/>
          <w:lang w:eastAsia="cs-CZ"/>
        </w:rPr>
        <w:t>Hranicku</w:t>
      </w:r>
      <w:proofErr w:type="spellEnd"/>
      <w:r w:rsidRPr="00EC473B">
        <w:rPr>
          <w:rFonts w:ascii="Titillium" w:hAnsi="Titillium"/>
          <w:i/>
          <w:iCs/>
          <w:sz w:val="18"/>
          <w:szCs w:val="18"/>
          <w:lang w:eastAsia="cs-CZ"/>
        </w:rPr>
        <w:t>. Han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á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ck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é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muzeum v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p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ří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rod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ě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je organiza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č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í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slo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ž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kou 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á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rodn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í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ho muzea v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p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ří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rod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ě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se sídlem v</w:t>
      </w:r>
      <w:r w:rsidRPr="00EC473B">
        <w:rPr>
          <w:rFonts w:ascii="Calibri" w:hAnsi="Calibri" w:cs="Calibri"/>
          <w:i/>
          <w:iCs/>
          <w:sz w:val="18"/>
          <w:szCs w:val="18"/>
          <w:lang w:eastAsia="cs-CZ"/>
        </w:rPr>
        <w:t> 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Ro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ž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nov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ě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 xml:space="preserve"> pod Radho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š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t</w:t>
      </w:r>
      <w:r w:rsidRPr="00EC473B">
        <w:rPr>
          <w:rFonts w:ascii="Titillium" w:hAnsi="Titillium" w:cs="Titillium"/>
          <w:i/>
          <w:iCs/>
          <w:sz w:val="18"/>
          <w:szCs w:val="18"/>
          <w:lang w:eastAsia="cs-CZ"/>
        </w:rPr>
        <w:t>ě</w:t>
      </w:r>
      <w:r w:rsidRPr="00EC473B">
        <w:rPr>
          <w:rFonts w:ascii="Titillium" w:hAnsi="Titillium"/>
          <w:i/>
          <w:iCs/>
          <w:sz w:val="18"/>
          <w:szCs w:val="18"/>
          <w:lang w:eastAsia="cs-CZ"/>
        </w:rPr>
        <w:t>m.</w:t>
      </w:r>
    </w:p>
    <w:sectPr w:rsidR="00FD7490" w:rsidSect="00407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8" w:bottom="1985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BD10" w14:textId="77777777" w:rsidR="00407B49" w:rsidRDefault="00407B49" w:rsidP="00BE4E9C">
      <w:pPr>
        <w:spacing w:after="0" w:line="240" w:lineRule="auto"/>
      </w:pPr>
      <w:r>
        <w:separator/>
      </w:r>
    </w:p>
  </w:endnote>
  <w:endnote w:type="continuationSeparator" w:id="0">
    <w:p w14:paraId="50C0245D" w14:textId="77777777" w:rsidR="00407B49" w:rsidRDefault="00407B49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D673" w14:textId="77777777" w:rsidR="00E74382" w:rsidRDefault="00E743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F131" w14:textId="77777777"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130EE00" wp14:editId="5D2747E5">
          <wp:simplePos x="0" y="0"/>
          <wp:positionH relativeFrom="column">
            <wp:posOffset>-900430</wp:posOffset>
          </wp:positionH>
          <wp:positionV relativeFrom="paragraph">
            <wp:posOffset>-438785</wp:posOffset>
          </wp:positionV>
          <wp:extent cx="7559675" cy="953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6C53" w14:textId="77777777" w:rsidR="00E74382" w:rsidRDefault="00E743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76535" w14:textId="77777777" w:rsidR="00407B49" w:rsidRDefault="00407B49" w:rsidP="00BE4E9C">
      <w:pPr>
        <w:spacing w:after="0" w:line="240" w:lineRule="auto"/>
      </w:pPr>
      <w:r>
        <w:separator/>
      </w:r>
    </w:p>
  </w:footnote>
  <w:footnote w:type="continuationSeparator" w:id="0">
    <w:p w14:paraId="01535DC1" w14:textId="77777777" w:rsidR="00407B49" w:rsidRDefault="00407B49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8DFF3" w14:textId="77777777" w:rsidR="004F1476" w:rsidRDefault="00B958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404DF854" wp14:editId="0A3C87C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6B5A" w14:textId="77777777" w:rsidR="000D73AF" w:rsidRDefault="004962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30DDC4" wp14:editId="20B87C33">
          <wp:simplePos x="0" y="0"/>
          <wp:positionH relativeFrom="column">
            <wp:posOffset>-899795</wp:posOffset>
          </wp:positionH>
          <wp:positionV relativeFrom="paragraph">
            <wp:posOffset>-537845</wp:posOffset>
          </wp:positionV>
          <wp:extent cx="7559675" cy="106883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 w:rsidRPr="004962E0">
      <w:rPr>
        <w:noProof/>
        <w:lang w:eastAsia="cs-CZ"/>
      </w:rPr>
      <w:drawing>
        <wp:inline distT="0" distB="0" distL="0" distR="0" wp14:anchorId="60817BC1" wp14:editId="62758309">
          <wp:extent cx="2275984" cy="6084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984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DC3F" w14:textId="77777777" w:rsidR="004F1476" w:rsidRDefault="00000000">
    <w:pPr>
      <w:pStyle w:val="Zhlav"/>
    </w:pPr>
    <w:r>
      <w:rPr>
        <w:noProof/>
        <w:lang w:eastAsia="cs-CZ"/>
      </w:rPr>
      <w:pict w14:anchorId="46FE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7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079FC"/>
    <w:rsid w:val="000123B4"/>
    <w:rsid w:val="00024ADB"/>
    <w:rsid w:val="00053563"/>
    <w:rsid w:val="000607C5"/>
    <w:rsid w:val="0006551B"/>
    <w:rsid w:val="00091307"/>
    <w:rsid w:val="000940AC"/>
    <w:rsid w:val="000B094A"/>
    <w:rsid w:val="000C3DCC"/>
    <w:rsid w:val="000D73AF"/>
    <w:rsid w:val="000D74E1"/>
    <w:rsid w:val="00125122"/>
    <w:rsid w:val="00171DB8"/>
    <w:rsid w:val="00172156"/>
    <w:rsid w:val="00173B04"/>
    <w:rsid w:val="001945CA"/>
    <w:rsid w:val="001E0060"/>
    <w:rsid w:val="00206CEE"/>
    <w:rsid w:val="00210456"/>
    <w:rsid w:val="0026629B"/>
    <w:rsid w:val="00276A90"/>
    <w:rsid w:val="00287125"/>
    <w:rsid w:val="00291B59"/>
    <w:rsid w:val="002926A5"/>
    <w:rsid w:val="002A0C4F"/>
    <w:rsid w:val="002A551F"/>
    <w:rsid w:val="002B26B3"/>
    <w:rsid w:val="003169B2"/>
    <w:rsid w:val="0032025E"/>
    <w:rsid w:val="003C3A66"/>
    <w:rsid w:val="003E1B69"/>
    <w:rsid w:val="003E60B1"/>
    <w:rsid w:val="003E671B"/>
    <w:rsid w:val="00407B49"/>
    <w:rsid w:val="004416A2"/>
    <w:rsid w:val="00461B57"/>
    <w:rsid w:val="004962E0"/>
    <w:rsid w:val="004B4E29"/>
    <w:rsid w:val="004F1476"/>
    <w:rsid w:val="00565782"/>
    <w:rsid w:val="005938DC"/>
    <w:rsid w:val="005B49FC"/>
    <w:rsid w:val="00605993"/>
    <w:rsid w:val="006135CE"/>
    <w:rsid w:val="006359E2"/>
    <w:rsid w:val="00650B1A"/>
    <w:rsid w:val="00660E54"/>
    <w:rsid w:val="006716DC"/>
    <w:rsid w:val="0068559E"/>
    <w:rsid w:val="00690997"/>
    <w:rsid w:val="006A43C3"/>
    <w:rsid w:val="006C1649"/>
    <w:rsid w:val="006C6E73"/>
    <w:rsid w:val="00755463"/>
    <w:rsid w:val="00775ABA"/>
    <w:rsid w:val="00796DA0"/>
    <w:rsid w:val="007B1211"/>
    <w:rsid w:val="007F2E02"/>
    <w:rsid w:val="00810816"/>
    <w:rsid w:val="0083034A"/>
    <w:rsid w:val="008363A1"/>
    <w:rsid w:val="0084045A"/>
    <w:rsid w:val="0086021D"/>
    <w:rsid w:val="00866C5F"/>
    <w:rsid w:val="0087066E"/>
    <w:rsid w:val="00885504"/>
    <w:rsid w:val="008A1A9D"/>
    <w:rsid w:val="008A5B4D"/>
    <w:rsid w:val="008D2BA4"/>
    <w:rsid w:val="008F28C4"/>
    <w:rsid w:val="008F4D9E"/>
    <w:rsid w:val="009062B4"/>
    <w:rsid w:val="009111C8"/>
    <w:rsid w:val="00926B05"/>
    <w:rsid w:val="009766E1"/>
    <w:rsid w:val="009857A9"/>
    <w:rsid w:val="00991C2E"/>
    <w:rsid w:val="00994E8F"/>
    <w:rsid w:val="009A6955"/>
    <w:rsid w:val="009A75E7"/>
    <w:rsid w:val="009D7E4B"/>
    <w:rsid w:val="009F7122"/>
    <w:rsid w:val="00A14342"/>
    <w:rsid w:val="00A36CC1"/>
    <w:rsid w:val="00AA22CC"/>
    <w:rsid w:val="00B13C7B"/>
    <w:rsid w:val="00B15C71"/>
    <w:rsid w:val="00B47BD7"/>
    <w:rsid w:val="00B5143B"/>
    <w:rsid w:val="00B85B6B"/>
    <w:rsid w:val="00B90929"/>
    <w:rsid w:val="00B91A0D"/>
    <w:rsid w:val="00B953EF"/>
    <w:rsid w:val="00B95896"/>
    <w:rsid w:val="00BE4E9C"/>
    <w:rsid w:val="00BF6CF6"/>
    <w:rsid w:val="00C1216D"/>
    <w:rsid w:val="00C148B8"/>
    <w:rsid w:val="00C20472"/>
    <w:rsid w:val="00C4426E"/>
    <w:rsid w:val="00C557EF"/>
    <w:rsid w:val="00C66238"/>
    <w:rsid w:val="00CA5AFF"/>
    <w:rsid w:val="00CB7A1C"/>
    <w:rsid w:val="00CC4944"/>
    <w:rsid w:val="00D2314C"/>
    <w:rsid w:val="00D70602"/>
    <w:rsid w:val="00D70E48"/>
    <w:rsid w:val="00D85C57"/>
    <w:rsid w:val="00D94AF9"/>
    <w:rsid w:val="00DD603F"/>
    <w:rsid w:val="00E00BEE"/>
    <w:rsid w:val="00E01B7A"/>
    <w:rsid w:val="00E14BA8"/>
    <w:rsid w:val="00E27067"/>
    <w:rsid w:val="00E34C69"/>
    <w:rsid w:val="00E37D4E"/>
    <w:rsid w:val="00E41B37"/>
    <w:rsid w:val="00E615E1"/>
    <w:rsid w:val="00E74382"/>
    <w:rsid w:val="00E77A93"/>
    <w:rsid w:val="00EB2BDC"/>
    <w:rsid w:val="00EC4CF7"/>
    <w:rsid w:val="00EC5DD7"/>
    <w:rsid w:val="00ED34D1"/>
    <w:rsid w:val="00F5271E"/>
    <w:rsid w:val="00F67C9E"/>
    <w:rsid w:val="00F86F3A"/>
    <w:rsid w:val="00F95F31"/>
    <w:rsid w:val="00FA2A85"/>
    <w:rsid w:val="00FA45E3"/>
    <w:rsid w:val="00FB0CD5"/>
    <w:rsid w:val="00FC4492"/>
    <w:rsid w:val="00FC53C6"/>
    <w:rsid w:val="00FD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D8D4E"/>
  <w15:docId w15:val="{CA16D524-CC16-4057-B848-754A5AF3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Normlnweb">
    <w:name w:val="Normal (Web)"/>
    <w:basedOn w:val="Normln"/>
    <w:uiPriority w:val="99"/>
    <w:unhideWhenUsed/>
    <w:rsid w:val="00991C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49FC"/>
    <w:rPr>
      <w:b/>
      <w:bCs/>
    </w:rPr>
  </w:style>
  <w:style w:type="paragraph" w:styleId="Bezmezer">
    <w:name w:val="No Spacing"/>
    <w:uiPriority w:val="1"/>
    <w:qFormat/>
    <w:rsid w:val="00024A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D749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0B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71D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D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DB8"/>
    <w:rPr>
      <w:rFonts w:ascii="Titillium" w:hAnsi="Titillium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D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DB8"/>
    <w:rPr>
      <w:rFonts w:ascii="Titillium" w:hAnsi="Titilliu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vodesil@nmvp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mvp.cz/prikaz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07A8-0BB2-40EE-807C-5C51E29B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Koníček</dc:creator>
  <cp:lastModifiedBy>Petra Pášová│ICOK</cp:lastModifiedBy>
  <cp:revision>8</cp:revision>
  <cp:lastPrinted>2019-05-10T10:50:00Z</cp:lastPrinted>
  <dcterms:created xsi:type="dcterms:W3CDTF">2024-04-25T07:33:00Z</dcterms:created>
  <dcterms:modified xsi:type="dcterms:W3CDTF">2024-04-26T04:44:00Z</dcterms:modified>
</cp:coreProperties>
</file>